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38B1AC7E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10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E07330" w:rsidRPr="00E07330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R4-2405037</w:t>
      </w:r>
    </w:p>
    <w:p w14:paraId="457FCC4F" w14:textId="03C078DC" w:rsidR="00841BCD" w:rsidRPr="00614DD8" w:rsidRDefault="00E519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Changsha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April 15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April 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52CDCD23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C439AC5" w14:textId="5D0B82C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895565B" w14:textId="4A635307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7F5663" w:rsidRPr="007F5663">
        <w:rPr>
          <w:rFonts w:ascii="Arial" w:eastAsia="Calibri" w:hAnsi="Arial" w:cs="Arial"/>
          <w:b/>
          <w:bCs/>
          <w:sz w:val="24"/>
          <w:lang w:val="en-US"/>
        </w:rPr>
        <w:t xml:space="preserve">On RAN4 basket WI work planning </w:t>
      </w:r>
    </w:p>
    <w:p w14:paraId="641E8BEA" w14:textId="20C96461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7A728E">
        <w:rPr>
          <w:rFonts w:ascii="Arial" w:eastAsia="MS Mincho" w:hAnsi="Arial" w:cs="Arial"/>
          <w:b/>
          <w:bCs/>
          <w:sz w:val="24"/>
          <w:szCs w:val="20"/>
          <w:lang w:val="en-US"/>
        </w:rPr>
        <w:t>11.</w:t>
      </w:r>
      <w:r w:rsidR="007F5663">
        <w:rPr>
          <w:rFonts w:ascii="Arial" w:eastAsia="MS Mincho" w:hAnsi="Arial" w:cs="Arial"/>
          <w:b/>
          <w:bCs/>
          <w:sz w:val="24"/>
          <w:szCs w:val="20"/>
          <w:lang w:val="en-US"/>
        </w:rPr>
        <w:t>3</w:t>
      </w:r>
    </w:p>
    <w:p w14:paraId="07144160" w14:textId="663EEC7C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70337B4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B15C00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C1FBADD" w14:textId="701CA266" w:rsidR="00381F95" w:rsidRPr="00614DD8" w:rsidRDefault="007A728E" w:rsidP="005C23A4">
      <w:pPr>
        <w:rPr>
          <w:lang w:val="en-US"/>
        </w:rPr>
      </w:pPr>
      <w:r>
        <w:rPr>
          <w:lang w:val="en-US"/>
        </w:rPr>
        <w:t>During RAN</w:t>
      </w:r>
      <w:r w:rsidR="00970176">
        <w:rPr>
          <w:lang w:val="en-US"/>
        </w:rPr>
        <w:t>4</w:t>
      </w:r>
      <w:r>
        <w:rPr>
          <w:lang w:val="en-US"/>
        </w:rPr>
        <w:t>#1</w:t>
      </w:r>
      <w:r w:rsidR="00970176">
        <w:rPr>
          <w:lang w:val="en-US"/>
        </w:rPr>
        <w:t>10</w:t>
      </w:r>
      <w:r>
        <w:rPr>
          <w:lang w:val="en-US"/>
        </w:rPr>
        <w:t xml:space="preserve"> a WF was agreed </w:t>
      </w:r>
      <w:r w:rsidR="00BE12F5">
        <w:rPr>
          <w:lang w:val="en-US"/>
        </w:rPr>
        <w:t>to</w:t>
      </w:r>
      <w:r>
        <w:rPr>
          <w:lang w:val="en-US"/>
        </w:rPr>
        <w:t xml:space="preserve"> </w:t>
      </w:r>
      <w:r w:rsidR="00970176">
        <w:rPr>
          <w:lang w:val="en-US"/>
        </w:rPr>
        <w:t>initiate the discussions needed to define the different baskets needed to cover the different band combinations to be included during Rel-19</w:t>
      </w:r>
      <w:r>
        <w:rPr>
          <w:lang w:val="en-US"/>
        </w:rPr>
        <w:t>. The WF is included below for reference.</w:t>
      </w:r>
    </w:p>
    <w:p w14:paraId="015D2129" w14:textId="56A58B82" w:rsidR="0060543D" w:rsidRPr="00614DD8" w:rsidRDefault="007A728E" w:rsidP="005C23A4">
      <w:pPr>
        <w:rPr>
          <w:lang w:val="en-US"/>
        </w:rPr>
      </w:pPr>
      <w:r>
        <w:rPr>
          <w:lang w:val="en-US"/>
        </w:rPr>
        <w:t>WF [1]</w:t>
      </w:r>
      <w:r w:rsidR="001B1EA8" w:rsidRPr="00614DD8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5A2CEA8B" w14:textId="77777777" w:rsidTr="001B1EA8">
        <w:tc>
          <w:tcPr>
            <w:tcW w:w="9617" w:type="dxa"/>
          </w:tcPr>
          <w:p w14:paraId="22E0F868" w14:textId="77777777" w:rsidR="00970176" w:rsidRPr="00EF3FF4" w:rsidRDefault="00970176" w:rsidP="00970176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&lt;Way forward&gt;</w:t>
            </w:r>
            <w:r w:rsidRPr="00EF3FF4">
              <w:rPr>
                <w:b/>
                <w:lang w:eastAsia="zh-CN"/>
              </w:rPr>
              <w:t>:</w:t>
            </w:r>
          </w:p>
          <w:p w14:paraId="2BA66694" w14:textId="77777777" w:rsidR="00970176" w:rsidRDefault="00970176" w:rsidP="00970176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RAN4 will continue to discuss how the technical work around the introduction of band combinations can be best organised </w:t>
            </w:r>
          </w:p>
          <w:p w14:paraId="29BA0978" w14:textId="77777777" w:rsidR="00970176" w:rsidRPr="00EF3FF4" w:rsidRDefault="00970176" w:rsidP="00970176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&lt;Way forward&gt;</w:t>
            </w:r>
            <w:r w:rsidRPr="00EF3FF4">
              <w:rPr>
                <w:b/>
                <w:lang w:eastAsia="zh-CN"/>
              </w:rPr>
              <w:t>:</w:t>
            </w:r>
          </w:p>
          <w:p w14:paraId="610A01EE" w14:textId="77777777" w:rsidR="00970176" w:rsidRDefault="00970176" w:rsidP="00970176">
            <w:pPr>
              <w:pStyle w:val="B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RAN4 will continue to finalize the technical guidelines for MSD studies related to:</w:t>
            </w:r>
          </w:p>
          <w:p w14:paraId="57F8F049" w14:textId="77777777" w:rsidR="00970176" w:rsidRDefault="00970176" w:rsidP="00970176">
            <w:pPr>
              <w:pStyle w:val="B1"/>
              <w:numPr>
                <w:ilvl w:val="0"/>
                <w:numId w:val="2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Harmonic mixing orders</w:t>
            </w:r>
          </w:p>
          <w:p w14:paraId="0426FEC9" w14:textId="77777777" w:rsidR="00970176" w:rsidRDefault="00970176" w:rsidP="00970176">
            <w:pPr>
              <w:pStyle w:val="B1"/>
              <w:numPr>
                <w:ilvl w:val="0"/>
                <w:numId w:val="2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Cross-band isolation</w:t>
            </w:r>
          </w:p>
          <w:p w14:paraId="67090576" w14:textId="77777777" w:rsidR="00970176" w:rsidRDefault="00970176" w:rsidP="00970176">
            <w:pPr>
              <w:pStyle w:val="B1"/>
              <w:numPr>
                <w:ilvl w:val="0"/>
                <w:numId w:val="2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IMD and Triple beat MSD linked to intra-band ULCA configurations.</w:t>
            </w:r>
          </w:p>
          <w:p w14:paraId="602372A8" w14:textId="77777777" w:rsidR="00970176" w:rsidRDefault="00970176" w:rsidP="00970176">
            <w:pPr>
              <w:pStyle w:val="B1"/>
              <w:numPr>
                <w:ilvl w:val="0"/>
                <w:numId w:val="2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Other aspects are not precluded.</w:t>
            </w:r>
          </w:p>
          <w:p w14:paraId="4AF27B5C" w14:textId="77777777" w:rsidR="00970176" w:rsidRDefault="00970176" w:rsidP="00970176"/>
          <w:p w14:paraId="53735A94" w14:textId="77777777" w:rsidR="00970176" w:rsidRPr="00EF3FF4" w:rsidRDefault="00970176" w:rsidP="00970176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&lt;Way forward&gt;</w:t>
            </w:r>
            <w:r w:rsidRPr="00EF3FF4">
              <w:rPr>
                <w:b/>
                <w:lang w:eastAsia="zh-CN"/>
              </w:rPr>
              <w:t>:</w:t>
            </w:r>
          </w:p>
          <w:p w14:paraId="0B66B7A9" w14:textId="77777777" w:rsidR="00970176" w:rsidRPr="00970176" w:rsidRDefault="00970176" w:rsidP="00970176">
            <w:pPr>
              <w:pStyle w:val="ListParagraph"/>
              <w:numPr>
                <w:ilvl w:val="0"/>
                <w:numId w:val="30"/>
              </w:numPr>
              <w:rPr>
                <w:rFonts w:eastAsia="Times New Roman" w:cs="Times New Roman"/>
                <w:szCs w:val="20"/>
                <w:lang w:eastAsia="zh-CN"/>
              </w:rPr>
            </w:pPr>
            <w:r w:rsidRPr="00970176">
              <w:rPr>
                <w:rFonts w:eastAsia="Times New Roman" w:cs="Times New Roman"/>
                <w:szCs w:val="20"/>
                <w:lang w:eastAsia="zh-CN"/>
              </w:rPr>
              <w:t>Interested companies are encouraged to submit contributions at RAN4#110bis in April to allow progress for May meeting.</w:t>
            </w:r>
          </w:p>
          <w:p w14:paraId="05BDB748" w14:textId="77777777" w:rsidR="0060301D" w:rsidRPr="00614DD8" w:rsidRDefault="0060301D" w:rsidP="005C23A4">
            <w:pPr>
              <w:rPr>
                <w:lang w:val="en-US"/>
              </w:rPr>
            </w:pPr>
          </w:p>
        </w:tc>
      </w:tr>
    </w:tbl>
    <w:p w14:paraId="2490C8B5" w14:textId="77777777" w:rsidR="00A520D9" w:rsidRPr="00614DD8" w:rsidRDefault="00A520D9" w:rsidP="005C23A4">
      <w:pPr>
        <w:rPr>
          <w:lang w:val="en-US"/>
        </w:rPr>
      </w:pPr>
    </w:p>
    <w:p w14:paraId="06A7ECC3" w14:textId="1644E7AA" w:rsidR="0060543D" w:rsidRPr="00614DD8" w:rsidRDefault="007A728E" w:rsidP="005C23A4">
      <w:pPr>
        <w:rPr>
          <w:lang w:val="en-US"/>
        </w:rPr>
      </w:pPr>
      <w:r w:rsidRPr="48EB6057">
        <w:rPr>
          <w:lang w:val="en-US"/>
        </w:rPr>
        <w:t xml:space="preserve">This contribution will discuss </w:t>
      </w:r>
      <w:r w:rsidR="3E03A4D3" w:rsidRPr="48EB6057">
        <w:rPr>
          <w:lang w:val="en-US"/>
        </w:rPr>
        <w:t>suggestions</w:t>
      </w:r>
      <w:r w:rsidRPr="48EB6057">
        <w:rPr>
          <w:lang w:val="en-US"/>
        </w:rPr>
        <w:t xml:space="preserve"> for </w:t>
      </w:r>
      <w:r w:rsidR="00970176">
        <w:rPr>
          <w:lang w:val="en-US"/>
        </w:rPr>
        <w:t>further work on band combinations by RAN4</w:t>
      </w:r>
      <w:r w:rsidRPr="48EB6057">
        <w:rPr>
          <w:lang w:val="en-US"/>
        </w:rPr>
        <w:t>.</w:t>
      </w:r>
    </w:p>
    <w:p w14:paraId="5E6E091D" w14:textId="7740770D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4F01078" w14:textId="77777777" w:rsidR="009777D2" w:rsidRDefault="009777D2" w:rsidP="009777D2">
      <w:pPr>
        <w:pStyle w:val="RAN4H2"/>
      </w:pPr>
      <w:r>
        <w:t>History of the band combination work</w:t>
      </w:r>
    </w:p>
    <w:p w14:paraId="38B4D35D" w14:textId="77777777" w:rsidR="009777D2" w:rsidRDefault="009777D2" w:rsidP="009777D2">
      <w:r>
        <w:t>P</w:t>
      </w:r>
      <w:r w:rsidRPr="00553FCC">
        <w:t xml:space="preserve">roposals for utilizing </w:t>
      </w:r>
      <w:r>
        <w:t xml:space="preserve">and defining </w:t>
      </w:r>
      <w:r w:rsidRPr="00553FCC">
        <w:t>the numerous</w:t>
      </w:r>
      <w:r>
        <w:t xml:space="preserve"> and increasing</w:t>
      </w:r>
      <w:r w:rsidRPr="00553FCC">
        <w:t xml:space="preserve"> 3GPP frequency bands </w:t>
      </w:r>
      <w:r>
        <w:t xml:space="preserve">are tasked to RAN4 by RAN. </w:t>
      </w:r>
      <w:r w:rsidRPr="00553FCC">
        <w:t>Since the first introduction of Carrier Aggregation</w:t>
      </w:r>
      <w:r>
        <w:t xml:space="preserve"> (CA)</w:t>
      </w:r>
      <w:r w:rsidRPr="00553FCC">
        <w:t xml:space="preserve"> requirements in Rel-10, the number of </w:t>
      </w:r>
      <w:r>
        <w:t xml:space="preserve">new ways of combining these bands </w:t>
      </w:r>
      <w:r w:rsidRPr="00553FCC">
        <w:t>remains increasing</w:t>
      </w:r>
      <w:r>
        <w:t xml:space="preserve"> and</w:t>
      </w:r>
      <w:r w:rsidRPr="00553FCC">
        <w:t xml:space="preserve"> diversify</w:t>
      </w:r>
      <w:r>
        <w:t>ing</w:t>
      </w:r>
      <w:r w:rsidRPr="00553FCC">
        <w:t xml:space="preserve"> into various kinds such as </w:t>
      </w:r>
      <w:r>
        <w:t>CA with multiple Down-Link and/or Up-Link bands, Dual-Connectivity (DC) between LTE and NR bands</w:t>
      </w:r>
      <w:r w:rsidRPr="00E9626D">
        <w:t xml:space="preserve"> </w:t>
      </w:r>
      <w:r>
        <w:t xml:space="preserve">as well as utilization of multiple frequency ranges </w:t>
      </w:r>
      <w:r w:rsidRPr="00553FCC">
        <w:t xml:space="preserve">etc. </w:t>
      </w:r>
      <w:r>
        <w:t xml:space="preserve">As a result, </w:t>
      </w:r>
      <w:r w:rsidRPr="007033D5">
        <w:t>it was starting from Rel-14 agreed to handle the band combination work in so-called baskets</w:t>
      </w:r>
      <w:r>
        <w:t xml:space="preserve"> where each basket corresponds to a specific type or group of similar type combinations [2], [3], [4].  </w:t>
      </w:r>
    </w:p>
    <w:p w14:paraId="0C1D75B9" w14:textId="2D9C2E4E" w:rsidR="009777D2" w:rsidRDefault="009777D2" w:rsidP="009777D2">
      <w:r>
        <w:t xml:space="preserve">The procedure for the band combination baskets </w:t>
      </w:r>
      <w:r w:rsidR="00577821">
        <w:t>was</w:t>
      </w:r>
      <w:r>
        <w:t xml:space="preserve"> first collected in Clause 2.2 in [5] for LTE-Advanced in Rel-14 and </w:t>
      </w:r>
      <w:r w:rsidR="00BE12F5">
        <w:t>is</w:t>
      </w:r>
      <w:r>
        <w:t xml:space="preserve"> still the foundation for how RAN4 handles the basket work for band combinations with minor changes and the addition of DC etc. with the introduction of NR in Rel-15. However, in the latest releases</w:t>
      </w:r>
      <w:r w:rsidR="00577821">
        <w:t>,</w:t>
      </w:r>
      <w:r>
        <w:t xml:space="preserve"> even more advanced band combinations have been enabled which poses the question if the working procedure (</w:t>
      </w:r>
      <w:r w:rsidR="00577821">
        <w:t>i.e.</w:t>
      </w:r>
      <w:r>
        <w:t xml:space="preserve"> basket procedures) can be improved further. </w:t>
      </w:r>
    </w:p>
    <w:p w14:paraId="68A000A2" w14:textId="1E696D78" w:rsidR="009777D2" w:rsidRDefault="009777D2" w:rsidP="009777D2">
      <w:r>
        <w:lastRenderedPageBreak/>
        <w:t>Currently</w:t>
      </w:r>
      <w:r w:rsidR="00577821">
        <w:t>,</w:t>
      </w:r>
      <w:r>
        <w:t xml:space="preserve"> RAN4 </w:t>
      </w:r>
      <w:r w:rsidR="00B26C61">
        <w:t xml:space="preserve">still </w:t>
      </w:r>
      <w:r w:rsidR="00401E8D">
        <w:t xml:space="preserve">manage the different types of band combinations with </w:t>
      </w:r>
      <w:r>
        <w:t xml:space="preserve">different </w:t>
      </w:r>
      <w:r w:rsidR="00577821">
        <w:t>work items</w:t>
      </w:r>
      <w:r>
        <w:t xml:space="preserve"> </w:t>
      </w:r>
      <w:r w:rsidR="00401E8D">
        <w:t>treated as the</w:t>
      </w:r>
      <w:r>
        <w:t xml:space="preserve"> </w:t>
      </w:r>
      <w:r w:rsidR="00401E8D">
        <w:t>so-called</w:t>
      </w:r>
      <w:r>
        <w:t xml:space="preserve"> baskets</w:t>
      </w:r>
      <w:r w:rsidR="00401E8D">
        <w:t xml:space="preserve">. The Rel-18 baskets are </w:t>
      </w:r>
      <w:r>
        <w:t xml:space="preserve">listed in Table 1. </w:t>
      </w:r>
    </w:p>
    <w:tbl>
      <w:tblPr>
        <w:tblW w:w="6799" w:type="dxa"/>
        <w:jc w:val="center"/>
        <w:tblLook w:val="04A0" w:firstRow="1" w:lastRow="0" w:firstColumn="1" w:lastColumn="0" w:noHBand="0" w:noVBand="1"/>
      </w:tblPr>
      <w:tblGrid>
        <w:gridCol w:w="2547"/>
        <w:gridCol w:w="4252"/>
      </w:tblGrid>
      <w:tr w:rsidR="009777D2" w:rsidRPr="0016427A" w14:paraId="2A608B3D" w14:textId="77777777" w:rsidTr="008622A6">
        <w:trPr>
          <w:trHeight w:val="6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52329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en-US"/>
              </w:rPr>
            </w:pPr>
            <w:r w:rsidRPr="0016427A">
              <w:rPr>
                <w:rFonts w:ascii="Calibri" w:hAnsi="Calibri" w:cs="Calibri"/>
                <w:lang w:val="en-US"/>
              </w:rPr>
              <w:t>MR-DC Basket WIs:</w:t>
            </w:r>
            <w:r w:rsidRPr="0016427A">
              <w:rPr>
                <w:rFonts w:ascii="Calibri" w:hAnsi="Calibri" w:cs="Calibri"/>
                <w:lang w:val="en-US"/>
              </w:rPr>
              <w:br/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D3B5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en-US"/>
              </w:rPr>
            </w:pPr>
            <w:r w:rsidRPr="0016427A">
              <w:rPr>
                <w:rFonts w:ascii="Calibri" w:hAnsi="Calibri" w:cs="Calibri"/>
                <w:lang w:val="en-US"/>
              </w:rPr>
              <w:t>DC_R18_1BLTE_1BNR_2DL2UL</w:t>
            </w:r>
            <w:r w:rsidRPr="0016427A">
              <w:rPr>
                <w:rFonts w:ascii="Calibri" w:hAnsi="Calibri" w:cs="Calibri"/>
                <w:lang w:val="en-US"/>
              </w:rPr>
              <w:br/>
              <w:t>DC_R18_2BLTE_1BNR_3DL2UL</w:t>
            </w:r>
            <w:r w:rsidRPr="0016427A">
              <w:rPr>
                <w:rFonts w:ascii="Calibri" w:hAnsi="Calibri" w:cs="Calibri"/>
                <w:lang w:val="en-US"/>
              </w:rPr>
              <w:br/>
              <w:t>DC_R18_xBLTE_1BNR_yDL2UL</w:t>
            </w:r>
            <w:r w:rsidRPr="0016427A">
              <w:rPr>
                <w:rFonts w:ascii="Calibri" w:hAnsi="Calibri" w:cs="Calibri"/>
                <w:lang w:val="en-US"/>
              </w:rPr>
              <w:br/>
              <w:t>DC_R18_xBLTE_2BNR_yDL2UL</w:t>
            </w:r>
            <w:r w:rsidRPr="0016427A">
              <w:rPr>
                <w:rFonts w:ascii="Calibri" w:hAnsi="Calibri" w:cs="Calibri"/>
                <w:lang w:val="en-US"/>
              </w:rPr>
              <w:br/>
              <w:t>DC_R18_xBLTE_yBNR_zDL2UL</w:t>
            </w:r>
            <w:r w:rsidRPr="0016427A">
              <w:rPr>
                <w:rFonts w:ascii="Calibri" w:hAnsi="Calibri" w:cs="Calibri"/>
                <w:lang w:val="en-US"/>
              </w:rPr>
              <w:br/>
              <w:t>DC_R18_xBLTE_yBNR_zDL3UL</w:t>
            </w:r>
          </w:p>
        </w:tc>
      </w:tr>
      <w:tr w:rsidR="009777D2" w:rsidRPr="0016427A" w14:paraId="78D9D4C7" w14:textId="77777777" w:rsidTr="008622A6">
        <w:trPr>
          <w:trHeight w:val="991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A7DBF" w14:textId="77777777" w:rsidR="009777D2" w:rsidRPr="0016427A" w:rsidRDefault="009777D2" w:rsidP="008622A6">
            <w:pPr>
              <w:spacing w:after="240"/>
              <w:rPr>
                <w:rFonts w:ascii="Calibri" w:hAnsi="Calibri" w:cs="Calibri"/>
                <w:lang w:val="en-US"/>
              </w:rPr>
            </w:pPr>
            <w:r w:rsidRPr="0016427A">
              <w:rPr>
                <w:rFonts w:ascii="Calibri" w:hAnsi="Calibri" w:cs="Calibri"/>
                <w:lang w:val="en-US"/>
              </w:rPr>
              <w:t>NR CA/DC Basket WIs:</w:t>
            </w:r>
            <w:r w:rsidRPr="0016427A">
              <w:rPr>
                <w:rFonts w:ascii="Calibri" w:hAnsi="Calibri" w:cs="Calibri"/>
                <w:lang w:val="en-US"/>
              </w:rPr>
              <w:br/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F960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en-US"/>
              </w:rPr>
            </w:pPr>
            <w:r w:rsidRPr="0016427A">
              <w:rPr>
                <w:rFonts w:ascii="Calibri" w:hAnsi="Calibri" w:cs="Calibri"/>
                <w:lang w:val="en-US"/>
              </w:rPr>
              <w:t>NR_CA_R18_intra</w:t>
            </w:r>
            <w:r w:rsidRPr="0016427A">
              <w:rPr>
                <w:rFonts w:ascii="Calibri" w:hAnsi="Calibri" w:cs="Calibri"/>
                <w:lang w:val="en-US"/>
              </w:rPr>
              <w:br/>
              <w:t>NR_CADC_R18_2BDL_xBUL</w:t>
            </w:r>
            <w:r w:rsidRPr="0016427A">
              <w:rPr>
                <w:rFonts w:ascii="Calibri" w:hAnsi="Calibri" w:cs="Calibri"/>
                <w:lang w:val="en-US"/>
              </w:rPr>
              <w:br/>
              <w:t>NR_CADC_R18_3BDL_xBUL</w:t>
            </w:r>
            <w:r w:rsidRPr="0016427A">
              <w:rPr>
                <w:rFonts w:ascii="Calibri" w:hAnsi="Calibri" w:cs="Calibri"/>
                <w:lang w:val="en-US"/>
              </w:rPr>
              <w:br/>
              <w:t>NR_CADC_R18_yBDL_xBUL</w:t>
            </w:r>
            <w:r w:rsidRPr="0016427A">
              <w:rPr>
                <w:rFonts w:ascii="Calibri" w:hAnsi="Calibri" w:cs="Calibri"/>
                <w:lang w:val="en-US"/>
              </w:rPr>
              <w:br/>
              <w:t>NR_SUL_combos_R18-Core</w:t>
            </w:r>
          </w:p>
        </w:tc>
      </w:tr>
      <w:tr w:rsidR="009777D2" w:rsidRPr="0016427A" w14:paraId="48E594D5" w14:textId="77777777" w:rsidTr="008622A6">
        <w:trPr>
          <w:trHeight w:val="233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4CEB4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en-US"/>
              </w:rPr>
            </w:pPr>
            <w:r w:rsidRPr="0016427A">
              <w:rPr>
                <w:rFonts w:ascii="Calibri" w:hAnsi="Calibri" w:cs="Calibri"/>
                <w:lang w:val="en-US"/>
              </w:rPr>
              <w:t xml:space="preserve">LTE Basket WIs: </w:t>
            </w:r>
            <w:r w:rsidRPr="0016427A">
              <w:rPr>
                <w:rFonts w:ascii="Calibri" w:hAnsi="Calibri" w:cs="Calibri"/>
                <w:lang w:val="en-US"/>
              </w:rPr>
              <w:br/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A556" w14:textId="31E3E1EE" w:rsidR="009777D2" w:rsidRPr="0016427A" w:rsidRDefault="00401E8D" w:rsidP="008622A6">
            <w:pPr>
              <w:spacing w:after="0"/>
              <w:rPr>
                <w:rFonts w:ascii="Calibri" w:hAnsi="Calibri" w:cs="Calibri"/>
                <w:lang w:val="en-US"/>
              </w:rPr>
            </w:pPr>
            <w:r w:rsidRPr="00401E8D">
              <w:rPr>
                <w:rFonts w:ascii="Calibri" w:hAnsi="Calibri" w:cs="Calibri"/>
                <w:lang w:val="en-US"/>
              </w:rPr>
              <w:t>LTE_CA_R18_xBDL_yBUL</w:t>
            </w:r>
          </w:p>
        </w:tc>
      </w:tr>
      <w:tr w:rsidR="009777D2" w:rsidRPr="00D035E0" w14:paraId="28EFA0B8" w14:textId="77777777" w:rsidTr="008622A6">
        <w:trPr>
          <w:trHeight w:val="11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B78E3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en-US"/>
              </w:rPr>
            </w:pPr>
            <w:r w:rsidRPr="0016427A">
              <w:rPr>
                <w:rFonts w:ascii="Calibri" w:hAnsi="Calibri" w:cs="Calibri"/>
                <w:lang w:val="en-US"/>
              </w:rPr>
              <w:t>HPUE Basket WIs:</w:t>
            </w:r>
          </w:p>
          <w:p w14:paraId="43A95735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5AD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en-US"/>
              </w:rPr>
            </w:pPr>
            <w:r w:rsidRPr="0016427A">
              <w:rPr>
                <w:rFonts w:ascii="Calibri" w:hAnsi="Calibri" w:cs="Calibri"/>
                <w:lang w:val="en-US"/>
              </w:rPr>
              <w:t>LTE_NR_HPUE_FWVM_REL18</w:t>
            </w:r>
          </w:p>
          <w:p w14:paraId="18465D7E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en-US"/>
              </w:rPr>
            </w:pPr>
            <w:r w:rsidRPr="0016427A">
              <w:rPr>
                <w:rFonts w:ascii="Calibri" w:hAnsi="Calibri" w:cs="Calibri"/>
                <w:lang w:val="en-US"/>
              </w:rPr>
              <w:t>HPUE_FR1_TDD_DC_LTE_NR_R18</w:t>
            </w:r>
          </w:p>
          <w:p w14:paraId="5E7D76F9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en-US"/>
              </w:rPr>
            </w:pPr>
            <w:r w:rsidRPr="0016427A">
              <w:rPr>
                <w:rFonts w:ascii="Calibri" w:hAnsi="Calibri" w:cs="Calibri"/>
                <w:lang w:val="en-US"/>
              </w:rPr>
              <w:t>HPUE_NR_FR1_TDD_intra_CA_R18</w:t>
            </w:r>
          </w:p>
          <w:p w14:paraId="0E4A243F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en-US"/>
              </w:rPr>
            </w:pPr>
            <w:r w:rsidRPr="0016427A">
              <w:rPr>
                <w:rFonts w:ascii="Calibri" w:hAnsi="Calibri" w:cs="Calibri"/>
                <w:lang w:val="en-US"/>
              </w:rPr>
              <w:t>HPUE_NR_FR1_TDD_R18</w:t>
            </w:r>
          </w:p>
          <w:p w14:paraId="4D5D4D0B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en-US"/>
              </w:rPr>
            </w:pPr>
            <w:r w:rsidRPr="0016427A">
              <w:rPr>
                <w:rFonts w:ascii="Calibri" w:hAnsi="Calibri" w:cs="Calibri"/>
                <w:lang w:val="en-US"/>
              </w:rPr>
              <w:t>HPUE_FR1_FDD_NR_CADC_R18</w:t>
            </w:r>
          </w:p>
          <w:p w14:paraId="0F6175C4" w14:textId="77777777" w:rsidR="009777D2" w:rsidRPr="0016427A" w:rsidRDefault="009777D2" w:rsidP="008622A6">
            <w:pPr>
              <w:spacing w:after="0"/>
              <w:rPr>
                <w:rFonts w:ascii="Calibri" w:hAnsi="Calibri" w:cs="Calibri"/>
                <w:lang w:val="da-DK"/>
              </w:rPr>
            </w:pPr>
            <w:r w:rsidRPr="0016427A">
              <w:rPr>
                <w:rFonts w:ascii="Calibri" w:hAnsi="Calibri" w:cs="Calibri"/>
                <w:lang w:val="da-DK"/>
              </w:rPr>
              <w:t>HPUE_NR_FR1_FDD_R18</w:t>
            </w:r>
          </w:p>
        </w:tc>
      </w:tr>
    </w:tbl>
    <w:p w14:paraId="0BF57562" w14:textId="6A00CC6C" w:rsidR="009777D2" w:rsidRDefault="009777D2" w:rsidP="00401E8D">
      <w:pPr>
        <w:jc w:val="center"/>
        <w:rPr>
          <w:lang w:val="en-US"/>
        </w:rPr>
      </w:pPr>
      <w:r w:rsidRPr="0016427A">
        <w:rPr>
          <w:lang w:val="en-US"/>
        </w:rPr>
        <w:t>Table 1 – List o</w:t>
      </w:r>
      <w:r>
        <w:rPr>
          <w:lang w:val="en-US"/>
        </w:rPr>
        <w:t>f</w:t>
      </w:r>
      <w:r w:rsidR="00401E8D">
        <w:rPr>
          <w:lang w:val="en-US"/>
        </w:rPr>
        <w:t xml:space="preserve"> Rel-18</w:t>
      </w:r>
      <w:r>
        <w:rPr>
          <w:lang w:val="en-US"/>
        </w:rPr>
        <w:t xml:space="preserve"> Basket Work Items</w:t>
      </w:r>
    </w:p>
    <w:p w14:paraId="641AD87D" w14:textId="064F38B0" w:rsidR="009777D2" w:rsidRDefault="0027189E" w:rsidP="009777D2">
      <w:pPr>
        <w:rPr>
          <w:lang w:val="en-US"/>
        </w:rPr>
      </w:pPr>
      <w:r>
        <w:rPr>
          <w:lang w:val="en-US"/>
        </w:rPr>
        <w:t xml:space="preserve">In preparation for Rel-19 RAN4 should discuss whether </w:t>
      </w:r>
      <w:proofErr w:type="gramStart"/>
      <w:r>
        <w:rPr>
          <w:lang w:val="en-US"/>
        </w:rPr>
        <w:t>all of</w:t>
      </w:r>
      <w:proofErr w:type="gramEnd"/>
      <w:r>
        <w:rPr>
          <w:lang w:val="en-US"/>
        </w:rPr>
        <w:t xml:space="preserve"> these baskets shall continue and/or if there </w:t>
      </w:r>
      <w:r w:rsidR="00BE12F5">
        <w:rPr>
          <w:lang w:val="en-US"/>
        </w:rPr>
        <w:t>is</w:t>
      </w:r>
      <w:r>
        <w:rPr>
          <w:lang w:val="en-US"/>
        </w:rPr>
        <w:t xml:space="preserve"> any need for additional baskets. The need for different band combination baskets is dependent on operator requests and the introduction/approval of the baskets is up to RAN. Even RAN4 can’t make any final decisions on Rel-19 band combination baskets it would be beneficial to have a technical discussion on how these can be grouped and most efficiently divided from a technical perspective.</w:t>
      </w:r>
    </w:p>
    <w:p w14:paraId="184EB031" w14:textId="77777777" w:rsidR="0027189E" w:rsidRDefault="0027189E" w:rsidP="0027189E">
      <w:pPr>
        <w:pStyle w:val="RAN4proposal"/>
        <w:rPr>
          <w:lang w:val="en-US"/>
        </w:rPr>
      </w:pPr>
      <w:bookmarkStart w:id="5" w:name="_Toc163498555"/>
      <w:r>
        <w:rPr>
          <w:lang w:val="en-US"/>
        </w:rPr>
        <w:t>RAN4 shall discuss potential Rel-19 band combination baskets to ensure technical considerations before RAN treats these at RAN#104.</w:t>
      </w:r>
      <w:bookmarkEnd w:id="5"/>
    </w:p>
    <w:p w14:paraId="3B4CE8EA" w14:textId="0C8758E1" w:rsidR="0027189E" w:rsidRDefault="0027189E" w:rsidP="0027189E">
      <w:pPr>
        <w:rPr>
          <w:lang w:val="en-US"/>
        </w:rPr>
      </w:pPr>
      <w:r>
        <w:rPr>
          <w:lang w:val="en-US"/>
        </w:rPr>
        <w:t xml:space="preserve">It can be noted that a significant amount of effort was spent on reducing the number of baskets from Rel-17 to Rel-18 but with the introduction of high-power band combinations the number is now greater than in Rel-17 meaning the total number of band combination </w:t>
      </w:r>
      <w:r w:rsidR="00577821">
        <w:rPr>
          <w:lang w:val="en-US"/>
        </w:rPr>
        <w:t>baskets</w:t>
      </w:r>
      <w:r>
        <w:rPr>
          <w:lang w:val="en-US"/>
        </w:rPr>
        <w:t xml:space="preserve"> only </w:t>
      </w:r>
      <w:r w:rsidR="00577821">
        <w:rPr>
          <w:lang w:val="en-US"/>
        </w:rPr>
        <w:t>has</w:t>
      </w:r>
      <w:r>
        <w:rPr>
          <w:lang w:val="en-US"/>
        </w:rPr>
        <w:t xml:space="preserve"> increased.</w:t>
      </w:r>
    </w:p>
    <w:p w14:paraId="62EB7247" w14:textId="2B2E47FD" w:rsidR="0027189E" w:rsidRDefault="0027189E" w:rsidP="0027189E">
      <w:pPr>
        <w:pStyle w:val="RAN4observation0"/>
        <w:rPr>
          <w:lang w:val="en-US"/>
        </w:rPr>
      </w:pPr>
      <w:r>
        <w:rPr>
          <w:lang w:val="en-US"/>
        </w:rPr>
        <w:t xml:space="preserve"> </w:t>
      </w:r>
      <w:bookmarkStart w:id="6" w:name="_Toc163498556"/>
      <w:r>
        <w:rPr>
          <w:lang w:val="en-US"/>
        </w:rPr>
        <w:t xml:space="preserve">The number of band combination baskets </w:t>
      </w:r>
      <w:r w:rsidR="00577821">
        <w:rPr>
          <w:lang w:val="en-US"/>
        </w:rPr>
        <w:t>has</w:t>
      </w:r>
      <w:r>
        <w:rPr>
          <w:lang w:val="en-US"/>
        </w:rPr>
        <w:t xml:space="preserve"> only increased after their introduction.</w:t>
      </w:r>
      <w:bookmarkEnd w:id="6"/>
    </w:p>
    <w:p w14:paraId="21371DA6" w14:textId="0528FA81" w:rsidR="0005427D" w:rsidRDefault="0005427D" w:rsidP="0005427D">
      <w:pPr>
        <w:rPr>
          <w:lang w:val="en-US"/>
        </w:rPr>
      </w:pPr>
      <w:r>
        <w:rPr>
          <w:lang w:val="en-US"/>
        </w:rPr>
        <w:t xml:space="preserve">One of the objectives in the discussion for Rel-19 baskets can be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one used when defining the Rel-18 baskets namely to collect band combinations which needs a specific technical study under the same </w:t>
      </w:r>
      <w:r w:rsidR="00577821">
        <w:rPr>
          <w:lang w:val="en-US"/>
        </w:rPr>
        <w:t>work item</w:t>
      </w:r>
      <w:r>
        <w:rPr>
          <w:lang w:val="en-US"/>
        </w:rPr>
        <w:t xml:space="preserve"> to streamline the processes around this. Similar band combinations with no technical study needed can be grouped based on which specification they are to be introduced to.</w:t>
      </w:r>
    </w:p>
    <w:p w14:paraId="271ABBB4" w14:textId="0A84E90B" w:rsidR="0005427D" w:rsidRDefault="0005427D" w:rsidP="0005427D">
      <w:pPr>
        <w:pStyle w:val="RAN4observation0"/>
        <w:rPr>
          <w:lang w:val="en-US"/>
        </w:rPr>
      </w:pPr>
      <w:bookmarkStart w:id="7" w:name="_Toc163498557"/>
      <w:r>
        <w:rPr>
          <w:lang w:val="en-US"/>
        </w:rPr>
        <w:t>Band combinations with the same type of technical study and belonging to the same specification can be grouped into one basket.</w:t>
      </w:r>
      <w:bookmarkEnd w:id="7"/>
    </w:p>
    <w:p w14:paraId="27D05447" w14:textId="3E98AC67" w:rsidR="00B26C61" w:rsidRDefault="00B26C61" w:rsidP="00B26C61">
      <w:pPr>
        <w:spacing w:before="120"/>
      </w:pPr>
      <w:r>
        <w:t xml:space="preserve">During Rel-18 RAN4 </w:t>
      </w:r>
      <w:r w:rsidR="00577821">
        <w:t>has</w:t>
      </w:r>
      <w:r>
        <w:t xml:space="preserve"> been working on simplifying and improving the processes for handling band combination work via the </w:t>
      </w:r>
      <w:r w:rsidRPr="00FF79B9">
        <w:t>Study on simplification of band combination specification</w:t>
      </w:r>
      <w:r>
        <w:t xml:space="preserve"> (</w:t>
      </w:r>
      <w:proofErr w:type="spellStart"/>
      <w:r w:rsidRPr="00FF79B9">
        <w:t>FS_SimBC</w:t>
      </w:r>
      <w:proofErr w:type="spellEnd"/>
      <w:r>
        <w:t xml:space="preserve">). This work has resulted in some recommendations and guidelines captured in TR </w:t>
      </w:r>
      <w:r w:rsidRPr="00FF79B9">
        <w:t>38.846</w:t>
      </w:r>
      <w:r>
        <w:t xml:space="preserve">. It also resulted in formalizing the specification framework for new types of requirements linked to inter-band UL configurations including intra-band ULCA. This work has by all involved in the band combination work in RAN4 been recognized as important to both reduce errors in the specification and effort/time spent on introducing the </w:t>
      </w:r>
      <w:r w:rsidR="00577821">
        <w:t>operator-requested</w:t>
      </w:r>
      <w:r>
        <w:t xml:space="preserve"> band combinations. However, the work can be further enhanced to develop clearer guidelines and unified templates for technical studies needed to introduce the band combinations.</w:t>
      </w:r>
    </w:p>
    <w:p w14:paraId="7E3DFF9B" w14:textId="77777777" w:rsidR="00B26C61" w:rsidRDefault="00B26C61" w:rsidP="00B26C61">
      <w:pPr>
        <w:pStyle w:val="RAN4observation0"/>
      </w:pPr>
      <w:bookmarkStart w:id="8" w:name="_Toc163498558"/>
      <w:r>
        <w:t>Work on guidelines and unified templates for technical studies for band combinations is still needed by RAN4.</w:t>
      </w:r>
      <w:bookmarkEnd w:id="8"/>
    </w:p>
    <w:p w14:paraId="26DBFC9E" w14:textId="3C79C2E9" w:rsidR="00CB22B2" w:rsidRPr="007A728E" w:rsidRDefault="00970176" w:rsidP="00496606">
      <w:pPr>
        <w:pStyle w:val="RAN4H2"/>
        <w:rPr>
          <w:lang w:val="en-US"/>
        </w:rPr>
      </w:pPr>
      <w:r>
        <w:rPr>
          <w:lang w:val="en-US"/>
        </w:rPr>
        <w:lastRenderedPageBreak/>
        <w:t>Unifying the technical guidelines for band combinations</w:t>
      </w:r>
    </w:p>
    <w:p w14:paraId="225D9F68" w14:textId="25D87B7A" w:rsidR="00CB2058" w:rsidRDefault="00577821" w:rsidP="00CB2058">
      <w:r>
        <w:t xml:space="preserve">In </w:t>
      </w:r>
      <w:r w:rsidR="00C817A3">
        <w:t>connection</w:t>
      </w:r>
      <w:r>
        <w:t xml:space="preserve"> </w:t>
      </w:r>
      <w:r w:rsidR="00997CD1">
        <w:t>with</w:t>
      </w:r>
      <w:r>
        <w:t xml:space="preserve"> the discussion on </w:t>
      </w:r>
      <w:r w:rsidR="00C817A3">
        <w:t>which baskets to have when moving into Rel-19 band combination work</w:t>
      </w:r>
      <w:r w:rsidR="00997CD1">
        <w:t>,</w:t>
      </w:r>
      <w:r w:rsidR="00C817A3">
        <w:t xml:space="preserve"> it is also important to </w:t>
      </w:r>
      <w:r w:rsidR="00997CD1">
        <w:t xml:space="preserve">prepare the technical reports (TR) such that they already from the beginning can include templates for </w:t>
      </w:r>
      <w:r w:rsidR="008F1F41">
        <w:t xml:space="preserve">introducing the specific type of band combination covered by </w:t>
      </w:r>
      <w:r w:rsidR="002F323E">
        <w:t>that basket</w:t>
      </w:r>
      <w:r w:rsidR="008F1F41">
        <w:t xml:space="preserve"> with the correct technical study</w:t>
      </w:r>
      <w:r w:rsidR="002F323E">
        <w:t xml:space="preserve">. </w:t>
      </w:r>
    </w:p>
    <w:p w14:paraId="08B2D20F" w14:textId="03D63BFD" w:rsidR="002F323E" w:rsidRDefault="002F323E" w:rsidP="002F323E">
      <w:pPr>
        <w:pStyle w:val="RAN4proposal"/>
        <w:rPr>
          <w:lang w:val="en-US"/>
        </w:rPr>
      </w:pPr>
      <w:bookmarkStart w:id="9" w:name="_Toc163498559"/>
      <w:r>
        <w:rPr>
          <w:lang w:val="en-US"/>
        </w:rPr>
        <w:t>RAN4 shall work on preparing templates for the coming TRs such that the needed technical study is captured correctly.</w:t>
      </w:r>
      <w:bookmarkEnd w:id="9"/>
    </w:p>
    <w:p w14:paraId="3621CD47" w14:textId="7F3F45F2" w:rsidR="002F323E" w:rsidRDefault="00634D10" w:rsidP="002F323E">
      <w:pPr>
        <w:rPr>
          <w:lang w:val="en-US"/>
        </w:rPr>
      </w:pPr>
      <w:r>
        <w:rPr>
          <w:lang w:val="en-US"/>
        </w:rPr>
        <w:t>Having</w:t>
      </w:r>
      <w:r w:rsidR="002F323E">
        <w:rPr>
          <w:lang w:val="en-US"/>
        </w:rPr>
        <w:t xml:space="preserve"> </w:t>
      </w:r>
      <w:r w:rsidR="00BE12F5">
        <w:rPr>
          <w:lang w:val="en-US"/>
        </w:rPr>
        <w:t>a pre-defined template</w:t>
      </w:r>
      <w:r w:rsidR="00CC6185">
        <w:rPr>
          <w:lang w:val="en-US"/>
        </w:rPr>
        <w:t xml:space="preserve"> with additional </w:t>
      </w:r>
      <w:r w:rsidR="00C16F59">
        <w:rPr>
          <w:lang w:val="en-US"/>
        </w:rPr>
        <w:t>guidance</w:t>
      </w:r>
      <w:r w:rsidR="00CC6185">
        <w:rPr>
          <w:lang w:val="en-US"/>
        </w:rPr>
        <w:t xml:space="preserve"> </w:t>
      </w:r>
      <w:r w:rsidR="00C16F59">
        <w:rPr>
          <w:lang w:val="en-US"/>
        </w:rPr>
        <w:t xml:space="preserve">decreases the possibility </w:t>
      </w:r>
      <w:r w:rsidR="00231ABD">
        <w:rPr>
          <w:lang w:val="en-US"/>
        </w:rPr>
        <w:t>of</w:t>
      </w:r>
      <w:r w:rsidR="00B11DA3">
        <w:rPr>
          <w:lang w:val="en-US"/>
        </w:rPr>
        <w:t xml:space="preserve"> </w:t>
      </w:r>
      <w:r w:rsidR="00C16F59">
        <w:rPr>
          <w:lang w:val="en-US"/>
        </w:rPr>
        <w:t>mistakes in the technical study or missing important parts completely.</w:t>
      </w:r>
    </w:p>
    <w:p w14:paraId="7E5C6902" w14:textId="59136578" w:rsidR="00C16F59" w:rsidRPr="002F323E" w:rsidRDefault="00C16F59" w:rsidP="00C16F59">
      <w:pPr>
        <w:pStyle w:val="RAN4observation0"/>
        <w:rPr>
          <w:lang w:val="en-US"/>
        </w:rPr>
      </w:pPr>
      <w:bookmarkStart w:id="10" w:name="_Toc163498560"/>
      <w:r>
        <w:rPr>
          <w:lang w:val="en-US"/>
        </w:rPr>
        <w:t>P</w:t>
      </w:r>
      <w:r w:rsidRPr="00C16F59">
        <w:rPr>
          <w:lang w:val="en-US"/>
        </w:rPr>
        <w:t xml:space="preserve">re-defined </w:t>
      </w:r>
      <w:r>
        <w:rPr>
          <w:lang w:val="en-US"/>
        </w:rPr>
        <w:t xml:space="preserve">TR </w:t>
      </w:r>
      <w:r w:rsidRPr="00C16F59">
        <w:rPr>
          <w:lang w:val="en-US"/>
        </w:rPr>
        <w:t xml:space="preserve">templates with additional guidance </w:t>
      </w:r>
      <w:r w:rsidR="00B11DA3">
        <w:rPr>
          <w:lang w:val="en-US"/>
        </w:rPr>
        <w:t>decrease</w:t>
      </w:r>
      <w:r w:rsidRPr="00C16F59">
        <w:rPr>
          <w:lang w:val="en-US"/>
        </w:rPr>
        <w:t xml:space="preserve"> the possibility </w:t>
      </w:r>
      <w:r w:rsidR="00BE12F5">
        <w:rPr>
          <w:lang w:val="en-US"/>
        </w:rPr>
        <w:t xml:space="preserve">of </w:t>
      </w:r>
      <w:r>
        <w:rPr>
          <w:lang w:val="en-US"/>
        </w:rPr>
        <w:t>missing or mak</w:t>
      </w:r>
      <w:r w:rsidR="00B11DA3">
        <w:rPr>
          <w:lang w:val="en-US"/>
        </w:rPr>
        <w:t>ing</w:t>
      </w:r>
      <w:r>
        <w:rPr>
          <w:lang w:val="en-US"/>
        </w:rPr>
        <w:t xml:space="preserve"> mistakes in the </w:t>
      </w:r>
      <w:r w:rsidRPr="00C16F59">
        <w:rPr>
          <w:lang w:val="en-US"/>
        </w:rPr>
        <w:t xml:space="preserve">technical study </w:t>
      </w:r>
      <w:r>
        <w:rPr>
          <w:lang w:val="en-US"/>
        </w:rPr>
        <w:t>for specific type</w:t>
      </w:r>
      <w:r w:rsidR="00B11DA3">
        <w:rPr>
          <w:lang w:val="en-US"/>
        </w:rPr>
        <w:t>s</w:t>
      </w:r>
      <w:r>
        <w:rPr>
          <w:lang w:val="en-US"/>
        </w:rPr>
        <w:t xml:space="preserve"> of band combination</w:t>
      </w:r>
      <w:r w:rsidR="00B11DA3">
        <w:rPr>
          <w:lang w:val="en-US"/>
        </w:rPr>
        <w:t>s</w:t>
      </w:r>
      <w:r>
        <w:rPr>
          <w:lang w:val="en-US"/>
        </w:rPr>
        <w:t>.</w:t>
      </w:r>
      <w:bookmarkEnd w:id="10"/>
    </w:p>
    <w:p w14:paraId="35DD464D" w14:textId="278BCD0C" w:rsidR="00CB2058" w:rsidRPr="00614DD8" w:rsidRDefault="00C16F59" w:rsidP="00CB2058">
      <w:pPr>
        <w:rPr>
          <w:lang w:val="en-US"/>
        </w:rPr>
      </w:pPr>
      <w:r>
        <w:rPr>
          <w:lang w:val="en-US"/>
        </w:rPr>
        <w:t xml:space="preserve">This work is already ongoing in </w:t>
      </w:r>
      <w:r w:rsidR="00B11DA3">
        <w:rPr>
          <w:lang w:val="en-US"/>
        </w:rPr>
        <w:t>parallel</w:t>
      </w:r>
      <w:r>
        <w:rPr>
          <w:lang w:val="en-US"/>
        </w:rPr>
        <w:t xml:space="preserve"> to this contribution and will be further discussed there.</w:t>
      </w:r>
    </w:p>
    <w:p w14:paraId="16CA844C" w14:textId="4C103B25" w:rsidR="00CD7492" w:rsidRPr="00614DD8" w:rsidRDefault="00CD7492" w:rsidP="00A37002">
      <w:pPr>
        <w:pStyle w:val="RAN4H1"/>
        <w:rPr>
          <w:lang w:val="en-US"/>
        </w:rPr>
      </w:pPr>
      <w:bookmarkStart w:id="11" w:name="_Toc116995848"/>
      <w:r w:rsidRPr="00614DD8">
        <w:rPr>
          <w:lang w:val="en-US"/>
        </w:rPr>
        <w:t>Conclusion</w:t>
      </w:r>
      <w:bookmarkEnd w:id="11"/>
    </w:p>
    <w:p w14:paraId="46CF4499" w14:textId="64DFC003" w:rsidR="00381F95" w:rsidRPr="00614DD8" w:rsidRDefault="00DE5767" w:rsidP="00936159">
      <w:pPr>
        <w:rPr>
          <w:lang w:val="en-US"/>
        </w:rPr>
      </w:pPr>
      <w:r w:rsidRPr="48EB6057">
        <w:rPr>
          <w:lang w:val="en-US"/>
        </w:rPr>
        <w:t>In this contribution</w:t>
      </w:r>
      <w:r w:rsidR="00C36F70">
        <w:rPr>
          <w:lang w:val="en-US"/>
        </w:rPr>
        <w:t>,</w:t>
      </w:r>
      <w:r w:rsidRPr="48EB6057">
        <w:rPr>
          <w:lang w:val="en-US"/>
        </w:rPr>
        <w:t xml:space="preserve"> </w:t>
      </w:r>
      <w:r w:rsidR="005E18D4">
        <w:rPr>
          <w:lang w:val="en-US"/>
        </w:rPr>
        <w:t>we</w:t>
      </w:r>
      <w:r w:rsidRPr="48EB6057">
        <w:rPr>
          <w:lang w:val="en-US"/>
        </w:rPr>
        <w:t xml:space="preserve"> discuss suggestion</w:t>
      </w:r>
      <w:r w:rsidR="179DB953" w:rsidRPr="48EB6057">
        <w:rPr>
          <w:lang w:val="en-US"/>
        </w:rPr>
        <w:t>s</w:t>
      </w:r>
      <w:r w:rsidRPr="48EB6057">
        <w:rPr>
          <w:lang w:val="en-US"/>
        </w:rPr>
        <w:t xml:space="preserve"> for improving the RAN4 UE RF specification in TS 38.101-1, 38.101-2 and 38.101-3. </w:t>
      </w:r>
      <w:r w:rsidR="00381F95" w:rsidRPr="48EB6057">
        <w:rPr>
          <w:lang w:val="en-US"/>
        </w:rPr>
        <w:t>T</w:t>
      </w:r>
      <w:r w:rsidR="005B4801" w:rsidRPr="48EB6057">
        <w:rPr>
          <w:lang w:val="en-US"/>
        </w:rPr>
        <w:t xml:space="preserve">he following Observations </w:t>
      </w:r>
      <w:r w:rsidR="008B0961" w:rsidRPr="48EB6057">
        <w:rPr>
          <w:lang w:val="en-US"/>
        </w:rPr>
        <w:t>and</w:t>
      </w:r>
      <w:r w:rsidR="005B4801" w:rsidRPr="48EB6057">
        <w:rPr>
          <w:lang w:val="en-US"/>
        </w:rPr>
        <w:t xml:space="preserve"> Proposals were made:</w:t>
      </w:r>
    </w:p>
    <w:p w14:paraId="65BACA9E" w14:textId="77777777" w:rsidR="00D035E0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63498555" w:history="1">
        <w:r w:rsidR="00D035E0" w:rsidRPr="000A7891">
          <w:rPr>
            <w:rStyle w:val="Hyperlink"/>
            <w:noProof/>
            <w:lang w:val="en-US"/>
          </w:rPr>
          <w:t>Proposal 1: RAN4 shall discuss potential Rel-19 band combination baskets to ensure technical considerations before RAN treats these at RAN#104.</w:t>
        </w:r>
      </w:hyperlink>
    </w:p>
    <w:p w14:paraId="49FC0BEE" w14:textId="77777777" w:rsidR="00D035E0" w:rsidRDefault="00D035E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3498556" w:history="1">
        <w:r w:rsidRPr="000A7891">
          <w:rPr>
            <w:rStyle w:val="Hyperlink"/>
            <w:b/>
            <w:noProof/>
            <w:lang w:val="en-US"/>
          </w:rPr>
          <w:t>Observation 1:</w:t>
        </w:r>
        <w:r w:rsidRPr="000A7891">
          <w:rPr>
            <w:rStyle w:val="Hyperlink"/>
            <w:noProof/>
            <w:lang w:val="en-US"/>
          </w:rPr>
          <w:t xml:space="preserve"> The number of band combination baskets has only increased after their introduction.</w:t>
        </w:r>
      </w:hyperlink>
    </w:p>
    <w:p w14:paraId="65627EF4" w14:textId="77777777" w:rsidR="00D035E0" w:rsidRDefault="00D035E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3498557" w:history="1">
        <w:r w:rsidRPr="000A7891">
          <w:rPr>
            <w:rStyle w:val="Hyperlink"/>
            <w:b/>
            <w:noProof/>
            <w:lang w:val="en-US"/>
          </w:rPr>
          <w:t>Observation 2:</w:t>
        </w:r>
        <w:r w:rsidRPr="000A7891">
          <w:rPr>
            <w:rStyle w:val="Hyperlink"/>
            <w:noProof/>
            <w:lang w:val="en-US"/>
          </w:rPr>
          <w:t xml:space="preserve"> Band combinations with the same type of technical study and belonging to the same specification can be grouped into one basket.</w:t>
        </w:r>
      </w:hyperlink>
    </w:p>
    <w:p w14:paraId="0EAD3A26" w14:textId="77777777" w:rsidR="00D035E0" w:rsidRDefault="00D035E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3498558" w:history="1">
        <w:r w:rsidRPr="000A7891">
          <w:rPr>
            <w:rStyle w:val="Hyperlink"/>
            <w:b/>
            <w:noProof/>
          </w:rPr>
          <w:t>Observation 3:</w:t>
        </w:r>
        <w:r w:rsidRPr="000A7891">
          <w:rPr>
            <w:rStyle w:val="Hyperlink"/>
            <w:noProof/>
          </w:rPr>
          <w:t xml:space="preserve"> Work on guidelines and unified templates for technical studies for band combinations is still needed by RAN4.</w:t>
        </w:r>
      </w:hyperlink>
    </w:p>
    <w:p w14:paraId="269C7FAD" w14:textId="77777777" w:rsidR="00D035E0" w:rsidRDefault="00D035E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US"/>
          <w14:ligatures w14:val="standardContextual"/>
        </w:rPr>
      </w:pPr>
      <w:hyperlink w:anchor="_Toc163498559" w:history="1">
        <w:r w:rsidRPr="000A7891">
          <w:rPr>
            <w:rStyle w:val="Hyperlink"/>
            <w:noProof/>
            <w:lang w:val="en-US"/>
          </w:rPr>
          <w:t>Proposal 2: RAN4 shall work on preparing templates for the coming TRs such that the needed technical study is captured correctly.</w:t>
        </w:r>
      </w:hyperlink>
    </w:p>
    <w:p w14:paraId="5CDAC858" w14:textId="77777777" w:rsidR="00D035E0" w:rsidRDefault="00D035E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US"/>
          <w14:ligatures w14:val="standardContextual"/>
        </w:rPr>
      </w:pPr>
      <w:hyperlink w:anchor="_Toc163498560" w:history="1">
        <w:r w:rsidRPr="000A7891">
          <w:rPr>
            <w:rStyle w:val="Hyperlink"/>
            <w:b/>
            <w:noProof/>
            <w:lang w:val="en-US"/>
          </w:rPr>
          <w:t>Observation 4:</w:t>
        </w:r>
        <w:r w:rsidRPr="000A7891">
          <w:rPr>
            <w:rStyle w:val="Hyperlink"/>
            <w:noProof/>
            <w:lang w:val="en-US"/>
          </w:rPr>
          <w:t xml:space="preserve"> Pre-defined TR templates with additional guidance decrease the possibility of missing or making mistakes in the technical study for specific types of band combinations.</w:t>
        </w:r>
      </w:hyperlink>
    </w:p>
    <w:p w14:paraId="669DE243" w14:textId="5044B029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2" w:name="_Toc116995849"/>
    </w:p>
    <w:p w14:paraId="6E61D21D" w14:textId="48A4964A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2"/>
    </w:p>
    <w:p w14:paraId="39C69540" w14:textId="38BBD910" w:rsidR="00687FA0" w:rsidRPr="00614DD8" w:rsidRDefault="00985183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3" w:name="_Ref114500673"/>
      <w:bookmarkEnd w:id="13"/>
      <w:r w:rsidRPr="00985183">
        <w:rPr>
          <w:lang w:val="en-US"/>
        </w:rPr>
        <w:t>R4-2403721</w:t>
      </w:r>
      <w:r w:rsidR="00D40288" w:rsidRPr="00614DD8">
        <w:rPr>
          <w:lang w:val="en-US"/>
        </w:rPr>
        <w:t>,</w:t>
      </w:r>
      <w:r w:rsidR="000040DC" w:rsidRPr="00614DD8">
        <w:rPr>
          <w:lang w:val="en-US"/>
        </w:rPr>
        <w:t xml:space="preserve"> </w:t>
      </w:r>
      <w:r w:rsidRPr="00985183">
        <w:rPr>
          <w:lang w:val="en-US"/>
        </w:rPr>
        <w:t>WF on Rel-19 Band Combination Work</w:t>
      </w:r>
      <w:r w:rsidR="000040DC" w:rsidRPr="00614DD8">
        <w:rPr>
          <w:lang w:val="en-US"/>
        </w:rPr>
        <w:t xml:space="preserve">, </w:t>
      </w:r>
      <w:r w:rsidRPr="00985183">
        <w:rPr>
          <w:lang w:val="en-US"/>
        </w:rPr>
        <w:t>Nokia, Skyworks, ZTE, Samsung, Ericsson, AT&amp;T, Qualcomm, CHTTL, Murata, T-Mobile USA, Apple, MediaTek, Huawei, Verizon</w:t>
      </w:r>
      <w:r w:rsidR="000040DC" w:rsidRPr="00614DD8">
        <w:rPr>
          <w:lang w:val="en-US"/>
        </w:rPr>
        <w:t>.</w:t>
      </w:r>
    </w:p>
    <w:p w14:paraId="21629577" w14:textId="77777777" w:rsidR="009777D2" w:rsidRDefault="009777D2" w:rsidP="009777D2">
      <w:pPr>
        <w:numPr>
          <w:ilvl w:val="0"/>
          <w:numId w:val="21"/>
        </w:numPr>
        <w:spacing w:after="180" w:line="240" w:lineRule="auto"/>
        <w:jc w:val="both"/>
        <w:rPr>
          <w:lang w:eastAsia="ja-JP"/>
        </w:rPr>
      </w:pPr>
      <w:r w:rsidRPr="00285820">
        <w:rPr>
          <w:lang w:eastAsia="ja-JP"/>
        </w:rPr>
        <w:t>RP-151172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285820">
        <w:rPr>
          <w:lang w:eastAsia="ja-JP"/>
        </w:rPr>
        <w:t>Revised approach for CA WIs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285820">
        <w:rPr>
          <w:lang w:eastAsia="ja-JP"/>
        </w:rPr>
        <w:t>RAN4 chairman (Nokia Networks)</w:t>
      </w:r>
      <w:r>
        <w:rPr>
          <w:rFonts w:hint="eastAsia"/>
          <w:lang w:eastAsia="ja-JP"/>
        </w:rPr>
        <w:t xml:space="preserve">, </w:t>
      </w:r>
      <w:r w:rsidRPr="001944F6">
        <w:rPr>
          <w:lang w:eastAsia="ja-JP"/>
        </w:rPr>
        <w:t>TSG RAN meeting #</w:t>
      </w:r>
      <w:r>
        <w:rPr>
          <w:rFonts w:hint="eastAsia"/>
          <w:lang w:eastAsia="ja-JP"/>
        </w:rPr>
        <w:t>69</w:t>
      </w:r>
      <w:r w:rsidRPr="00842E2F">
        <w:rPr>
          <w:lang w:eastAsia="ja-JP"/>
        </w:rPr>
        <w:t xml:space="preserve">, </w:t>
      </w:r>
      <w:r w:rsidRPr="00285820">
        <w:rPr>
          <w:lang w:eastAsia="ja-JP"/>
        </w:rPr>
        <w:t xml:space="preserve">Phoenix, AZ, US, 14 – 16 </w:t>
      </w:r>
      <w:proofErr w:type="gramStart"/>
      <w:r w:rsidRPr="00285820">
        <w:rPr>
          <w:lang w:eastAsia="ja-JP"/>
        </w:rPr>
        <w:t>Sep,</w:t>
      </w:r>
      <w:proofErr w:type="gramEnd"/>
      <w:r w:rsidRPr="00285820">
        <w:rPr>
          <w:lang w:eastAsia="ja-JP"/>
        </w:rPr>
        <w:t xml:space="preserve"> 2015</w:t>
      </w:r>
    </w:p>
    <w:p w14:paraId="5E0CCC19" w14:textId="77777777" w:rsidR="009777D2" w:rsidRDefault="009777D2" w:rsidP="009777D2">
      <w:pPr>
        <w:numPr>
          <w:ilvl w:val="0"/>
          <w:numId w:val="21"/>
        </w:numPr>
        <w:spacing w:after="180" w:line="240" w:lineRule="auto"/>
        <w:jc w:val="both"/>
        <w:rPr>
          <w:lang w:eastAsia="ja-JP"/>
        </w:rPr>
      </w:pPr>
      <w:r w:rsidRPr="00285820">
        <w:rPr>
          <w:lang w:eastAsia="ja-JP"/>
        </w:rPr>
        <w:t>RP-151169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285820">
        <w:rPr>
          <w:lang w:eastAsia="ja-JP"/>
        </w:rPr>
        <w:t>New CA WI procedure from Rel-14 onwards</w:t>
      </w:r>
      <w:r>
        <w:rPr>
          <w:lang w:eastAsia="ja-JP"/>
        </w:rPr>
        <w:t>”</w:t>
      </w:r>
      <w:r>
        <w:rPr>
          <w:rFonts w:hint="eastAsia"/>
          <w:lang w:eastAsia="ja-JP"/>
        </w:rPr>
        <w:t>, NTT DOCOMO, INC.</w:t>
      </w:r>
      <w:r w:rsidRPr="00842E2F">
        <w:rPr>
          <w:rFonts w:hint="eastAsia"/>
          <w:lang w:eastAsia="ja-JP"/>
        </w:rPr>
        <w:t>,</w:t>
      </w:r>
      <w:r w:rsidRPr="00842E2F">
        <w:rPr>
          <w:lang w:eastAsia="ja-JP"/>
        </w:rPr>
        <w:t xml:space="preserve"> </w:t>
      </w:r>
      <w:r w:rsidRPr="001944F6">
        <w:rPr>
          <w:lang w:eastAsia="ja-JP"/>
        </w:rPr>
        <w:t>TSG RAN meeting #</w:t>
      </w:r>
      <w:r>
        <w:rPr>
          <w:rFonts w:hint="eastAsia"/>
          <w:lang w:eastAsia="ja-JP"/>
        </w:rPr>
        <w:t>69</w:t>
      </w:r>
      <w:r w:rsidRPr="00842E2F">
        <w:rPr>
          <w:lang w:eastAsia="ja-JP"/>
        </w:rPr>
        <w:t xml:space="preserve">, </w:t>
      </w:r>
      <w:r w:rsidRPr="00285820">
        <w:rPr>
          <w:lang w:eastAsia="ja-JP"/>
        </w:rPr>
        <w:t xml:space="preserve">Phoenix, AZ, US, 14 – 16 </w:t>
      </w:r>
      <w:proofErr w:type="gramStart"/>
      <w:r w:rsidRPr="00285820">
        <w:rPr>
          <w:lang w:eastAsia="ja-JP"/>
        </w:rPr>
        <w:t>Sep,</w:t>
      </w:r>
      <w:proofErr w:type="gramEnd"/>
      <w:r w:rsidRPr="00285820">
        <w:rPr>
          <w:lang w:eastAsia="ja-JP"/>
        </w:rPr>
        <w:t xml:space="preserve"> 2015</w:t>
      </w:r>
    </w:p>
    <w:p w14:paraId="2BFEBB11" w14:textId="77777777" w:rsidR="009777D2" w:rsidRDefault="009777D2" w:rsidP="009777D2">
      <w:pPr>
        <w:numPr>
          <w:ilvl w:val="0"/>
          <w:numId w:val="21"/>
        </w:numPr>
        <w:spacing w:after="180" w:line="240" w:lineRule="auto"/>
        <w:jc w:val="both"/>
        <w:rPr>
          <w:lang w:eastAsia="ja-JP"/>
        </w:rPr>
      </w:pPr>
      <w:r w:rsidRPr="00637715">
        <w:rPr>
          <w:lang w:eastAsia="ja-JP"/>
        </w:rPr>
        <w:t>R4-156218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637715">
        <w:rPr>
          <w:lang w:eastAsia="ja-JP"/>
        </w:rPr>
        <w:t>New CA WI approaches from Rel14 onwards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NTT DOCOMO, INC., </w:t>
      </w:r>
      <w:r w:rsidRPr="00997402">
        <w:rPr>
          <w:lang w:eastAsia="ja-JP"/>
        </w:rPr>
        <w:t>3GPP TSG-RAN WG4 Meeting #76bis</w:t>
      </w:r>
      <w:r>
        <w:rPr>
          <w:rFonts w:hint="eastAsia"/>
          <w:lang w:eastAsia="ja-JP"/>
        </w:rPr>
        <w:t xml:space="preserve">, </w:t>
      </w:r>
      <w:r w:rsidRPr="00997402">
        <w:rPr>
          <w:lang w:eastAsia="ja-JP"/>
        </w:rPr>
        <w:t xml:space="preserve">Sophia Antipolis, France, 12 - 16 </w:t>
      </w:r>
      <w:proofErr w:type="gramStart"/>
      <w:r w:rsidRPr="00997402">
        <w:rPr>
          <w:lang w:eastAsia="ja-JP"/>
        </w:rPr>
        <w:t>Oct,</w:t>
      </w:r>
      <w:proofErr w:type="gramEnd"/>
      <w:r w:rsidRPr="00997402">
        <w:rPr>
          <w:lang w:eastAsia="ja-JP"/>
        </w:rPr>
        <w:t xml:space="preserve"> 2015</w:t>
      </w:r>
    </w:p>
    <w:p w14:paraId="665B48CD" w14:textId="77777777" w:rsidR="009777D2" w:rsidRDefault="009777D2" w:rsidP="009777D2">
      <w:pPr>
        <w:numPr>
          <w:ilvl w:val="0"/>
          <w:numId w:val="21"/>
        </w:numPr>
        <w:spacing w:after="180" w:line="240" w:lineRule="auto"/>
        <w:jc w:val="both"/>
        <w:rPr>
          <w:lang w:eastAsia="ja-JP"/>
        </w:rPr>
      </w:pPr>
      <w:r w:rsidRPr="0001109A">
        <w:rPr>
          <w:lang w:eastAsia="ja-JP"/>
        </w:rPr>
        <w:t>R4-161491, “On new CA WI approach”, NTT DOCOMO, RAN4 Chairma</w:t>
      </w:r>
      <w:r>
        <w:rPr>
          <w:lang w:eastAsia="ja-JP"/>
        </w:rPr>
        <w:t>n</w:t>
      </w:r>
    </w:p>
    <w:p w14:paraId="6B2B0690" w14:textId="77777777" w:rsidR="00E43BF9" w:rsidRPr="009777D2" w:rsidRDefault="00E43BF9" w:rsidP="00E43BF9">
      <w:pPr>
        <w:ind w:right="-22"/>
      </w:pPr>
    </w:p>
    <w:sectPr w:rsidR="00E43BF9" w:rsidRPr="009777D2" w:rsidSect="00C67595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7520D" w14:textId="77777777" w:rsidR="00C67595" w:rsidRDefault="00C67595" w:rsidP="00001C9B">
      <w:pPr>
        <w:spacing w:after="0" w:line="240" w:lineRule="auto"/>
      </w:pPr>
      <w:r>
        <w:separator/>
      </w:r>
    </w:p>
  </w:endnote>
  <w:endnote w:type="continuationSeparator" w:id="0">
    <w:p w14:paraId="000C2C95" w14:textId="77777777" w:rsidR="00C67595" w:rsidRDefault="00C6759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C5C62" w14:textId="77777777" w:rsidR="00C67595" w:rsidRDefault="00C67595" w:rsidP="00001C9B">
      <w:pPr>
        <w:spacing w:after="0" w:line="240" w:lineRule="auto"/>
      </w:pPr>
      <w:r>
        <w:separator/>
      </w:r>
    </w:p>
  </w:footnote>
  <w:footnote w:type="continuationSeparator" w:id="0">
    <w:p w14:paraId="7EC66884" w14:textId="77777777" w:rsidR="00C67595" w:rsidRDefault="00C6759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301D8"/>
    <w:multiLevelType w:val="hybridMultilevel"/>
    <w:tmpl w:val="DE003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F232E"/>
    <w:multiLevelType w:val="hybridMultilevel"/>
    <w:tmpl w:val="8A289FE4"/>
    <w:lvl w:ilvl="0" w:tplc="590468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EE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268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A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204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F69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0F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0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03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94488F"/>
    <w:multiLevelType w:val="hybridMultilevel"/>
    <w:tmpl w:val="9E20A3B6"/>
    <w:lvl w:ilvl="0" w:tplc="F69A3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83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57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1A36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4E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428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CA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10CF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68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8"/>
  </w:num>
  <w:num w:numId="16" w16cid:durableId="516113510">
    <w:abstractNumId w:val="5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5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39976164">
    <w:abstractNumId w:val="11"/>
  </w:num>
  <w:num w:numId="28" w16cid:durableId="1847204657">
    <w:abstractNumId w:val="8"/>
  </w:num>
  <w:num w:numId="29" w16cid:durableId="893465018">
    <w:abstractNumId w:val="4"/>
  </w:num>
  <w:num w:numId="30" w16cid:durableId="515538285">
    <w:abstractNumId w:val="2"/>
  </w:num>
  <w:num w:numId="31" w16cid:durableId="10217824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1784"/>
    <w:rsid w:val="000151EF"/>
    <w:rsid w:val="000239F5"/>
    <w:rsid w:val="00030B1E"/>
    <w:rsid w:val="0005427D"/>
    <w:rsid w:val="00072CCA"/>
    <w:rsid w:val="0008612A"/>
    <w:rsid w:val="00090E18"/>
    <w:rsid w:val="000A10BC"/>
    <w:rsid w:val="000A7F53"/>
    <w:rsid w:val="000B0056"/>
    <w:rsid w:val="000C3C7B"/>
    <w:rsid w:val="000D0F93"/>
    <w:rsid w:val="000D69F2"/>
    <w:rsid w:val="00106416"/>
    <w:rsid w:val="00110481"/>
    <w:rsid w:val="001127C9"/>
    <w:rsid w:val="00114498"/>
    <w:rsid w:val="00115B88"/>
    <w:rsid w:val="00121902"/>
    <w:rsid w:val="00130F50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7EE5"/>
    <w:rsid w:val="00231ABD"/>
    <w:rsid w:val="00235F5C"/>
    <w:rsid w:val="00257FA3"/>
    <w:rsid w:val="0027189E"/>
    <w:rsid w:val="00277B56"/>
    <w:rsid w:val="00282A74"/>
    <w:rsid w:val="002A19F5"/>
    <w:rsid w:val="002B4922"/>
    <w:rsid w:val="002B69F3"/>
    <w:rsid w:val="002C22C3"/>
    <w:rsid w:val="002C2D19"/>
    <w:rsid w:val="002D10FA"/>
    <w:rsid w:val="002D4C55"/>
    <w:rsid w:val="002E6DED"/>
    <w:rsid w:val="002F323E"/>
    <w:rsid w:val="00300956"/>
    <w:rsid w:val="00317187"/>
    <w:rsid w:val="0032499A"/>
    <w:rsid w:val="003341F7"/>
    <w:rsid w:val="00347FEC"/>
    <w:rsid w:val="003509DF"/>
    <w:rsid w:val="00356F45"/>
    <w:rsid w:val="00366B74"/>
    <w:rsid w:val="00381F95"/>
    <w:rsid w:val="003A710A"/>
    <w:rsid w:val="003B659E"/>
    <w:rsid w:val="003C275E"/>
    <w:rsid w:val="003C4FDE"/>
    <w:rsid w:val="003E58DF"/>
    <w:rsid w:val="00401E8D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5FFF"/>
    <w:rsid w:val="00496606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50285"/>
    <w:rsid w:val="00562492"/>
    <w:rsid w:val="00572A20"/>
    <w:rsid w:val="00577821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18D4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34D10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A728E"/>
    <w:rsid w:val="007B186C"/>
    <w:rsid w:val="007C1696"/>
    <w:rsid w:val="007C3ED0"/>
    <w:rsid w:val="007C48C4"/>
    <w:rsid w:val="007C5971"/>
    <w:rsid w:val="007E42DC"/>
    <w:rsid w:val="007F54B9"/>
    <w:rsid w:val="007F5663"/>
    <w:rsid w:val="00806A76"/>
    <w:rsid w:val="00811C9D"/>
    <w:rsid w:val="00816C80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8F1F41"/>
    <w:rsid w:val="0090091A"/>
    <w:rsid w:val="009042BD"/>
    <w:rsid w:val="00904FE4"/>
    <w:rsid w:val="00927740"/>
    <w:rsid w:val="00932065"/>
    <w:rsid w:val="00936159"/>
    <w:rsid w:val="00970176"/>
    <w:rsid w:val="009777D2"/>
    <w:rsid w:val="00977E1D"/>
    <w:rsid w:val="00985183"/>
    <w:rsid w:val="00997CD1"/>
    <w:rsid w:val="009B0573"/>
    <w:rsid w:val="009B7B4B"/>
    <w:rsid w:val="009B7C21"/>
    <w:rsid w:val="009E4E6E"/>
    <w:rsid w:val="00A04992"/>
    <w:rsid w:val="00A147AA"/>
    <w:rsid w:val="00A21D71"/>
    <w:rsid w:val="00A22B78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11319"/>
    <w:rsid w:val="00B11DA3"/>
    <w:rsid w:val="00B26C61"/>
    <w:rsid w:val="00B408B6"/>
    <w:rsid w:val="00B542DA"/>
    <w:rsid w:val="00B73862"/>
    <w:rsid w:val="00B73F43"/>
    <w:rsid w:val="00B75BBF"/>
    <w:rsid w:val="00B81CDC"/>
    <w:rsid w:val="00BA308C"/>
    <w:rsid w:val="00BA6B66"/>
    <w:rsid w:val="00BA6E48"/>
    <w:rsid w:val="00BC1D4F"/>
    <w:rsid w:val="00BE0AF6"/>
    <w:rsid w:val="00BE12F5"/>
    <w:rsid w:val="00BE1F03"/>
    <w:rsid w:val="00BE58A7"/>
    <w:rsid w:val="00BF2218"/>
    <w:rsid w:val="00C0426B"/>
    <w:rsid w:val="00C045DF"/>
    <w:rsid w:val="00C16F59"/>
    <w:rsid w:val="00C26D43"/>
    <w:rsid w:val="00C35173"/>
    <w:rsid w:val="00C36F70"/>
    <w:rsid w:val="00C46548"/>
    <w:rsid w:val="00C574D5"/>
    <w:rsid w:val="00C67595"/>
    <w:rsid w:val="00C73F32"/>
    <w:rsid w:val="00C817A3"/>
    <w:rsid w:val="00C87462"/>
    <w:rsid w:val="00CA180C"/>
    <w:rsid w:val="00CB2058"/>
    <w:rsid w:val="00CB22B2"/>
    <w:rsid w:val="00CC3EE2"/>
    <w:rsid w:val="00CC6185"/>
    <w:rsid w:val="00CD7492"/>
    <w:rsid w:val="00CE3A6B"/>
    <w:rsid w:val="00D00211"/>
    <w:rsid w:val="00D006D1"/>
    <w:rsid w:val="00D025AE"/>
    <w:rsid w:val="00D035E0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5767"/>
    <w:rsid w:val="00DE7064"/>
    <w:rsid w:val="00DF2997"/>
    <w:rsid w:val="00E07330"/>
    <w:rsid w:val="00E10BC4"/>
    <w:rsid w:val="00E1415D"/>
    <w:rsid w:val="00E213BD"/>
    <w:rsid w:val="00E323E9"/>
    <w:rsid w:val="00E34018"/>
    <w:rsid w:val="00E35B39"/>
    <w:rsid w:val="00E437D2"/>
    <w:rsid w:val="00E43BF9"/>
    <w:rsid w:val="00E51930"/>
    <w:rsid w:val="00E55751"/>
    <w:rsid w:val="00E7398E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0FF7E15"/>
    <w:rsid w:val="179DB953"/>
    <w:rsid w:val="29B7EC77"/>
    <w:rsid w:val="3E03A4D3"/>
    <w:rsid w:val="48E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652AF61C-71DD-4C19-BEED-9CA800E2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176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List"/>
    <w:link w:val="B1Char"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RBI5PAMIO524-1616901215-18233</_dlc_DocId>
    <HideFromDelve xmlns="71c5aaf6-e6ce-465b-b873-5148d2a4c105">false</HideFromDelve>
    <_dlc_DocIdUrl xmlns="71c5aaf6-e6ce-465b-b873-5148d2a4c105">
      <Url>https://nokia.sharepoint.com/sites/gxp/_layouts/15/DocIdRedir.aspx?ID=RBI5PAMIO524-1616901215-18233</Url>
      <Description>RBI5PAMIO524-1616901215-18233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6A76AB-D91E-4162-84CC-4F4C38AAB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1203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29</cp:revision>
  <dcterms:created xsi:type="dcterms:W3CDTF">2024-04-04T14:59:00Z</dcterms:created>
  <dcterms:modified xsi:type="dcterms:W3CDTF">2024-04-08T17:55:00Z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e7400ae7-c1da-4de4-bb59-b0c02ae0eb33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